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00361B" w14:textId="6D9C1B6E" w:rsidR="00386EC8" w:rsidRDefault="00DD1F7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sidRPr="00DD1F7D">
        <w:rPr>
          <w:rFonts w:ascii="inherit" w:eastAsia="Times New Roman" w:hAnsi="inherit" w:cs="Times New Roman"/>
          <w:b/>
          <w:bCs/>
          <w:color w:val="000000"/>
          <w:sz w:val="29"/>
          <w:szCs w:val="29"/>
          <w:bdr w:val="none" w:sz="0" w:space="0" w:color="auto" w:frame="1"/>
        </w:rPr>
        <w:t xml:space="preserve">Submit your response to the following question.  Briefly discuss Barriers and Benefits of Implementing the Inclusive Approach at Level 3 and its interconnectivity to Diversity - specifically within the </w:t>
      </w:r>
      <w:proofErr w:type="gramStart"/>
      <w:r w:rsidRPr="00DD1F7D">
        <w:rPr>
          <w:rFonts w:ascii="inherit" w:eastAsia="Times New Roman" w:hAnsi="inherit" w:cs="Times New Roman"/>
          <w:b/>
          <w:bCs/>
          <w:color w:val="000000"/>
          <w:sz w:val="29"/>
          <w:szCs w:val="29"/>
          <w:bdr w:val="none" w:sz="0" w:space="0" w:color="auto" w:frame="1"/>
        </w:rPr>
        <w:t>workplace .</w:t>
      </w:r>
      <w:proofErr w:type="gramEnd"/>
      <w:r w:rsidRPr="00DD1F7D">
        <w:rPr>
          <w:rFonts w:ascii="inherit" w:eastAsia="Times New Roman" w:hAnsi="inherit" w:cs="Times New Roman"/>
          <w:b/>
          <w:bCs/>
          <w:color w:val="000000"/>
          <w:sz w:val="29"/>
          <w:szCs w:val="29"/>
          <w:bdr w:val="none" w:sz="0" w:space="0" w:color="auto" w:frame="1"/>
        </w:rPr>
        <w:t xml:space="preserve">  *Do Not* copy and paste/copy content directly from the text.  Please read and provide at least a </w:t>
      </w:r>
      <w:proofErr w:type="gramStart"/>
      <w:r w:rsidRPr="00DD1F7D">
        <w:rPr>
          <w:rFonts w:ascii="inherit" w:eastAsia="Times New Roman" w:hAnsi="inherit" w:cs="Times New Roman"/>
          <w:b/>
          <w:bCs/>
          <w:color w:val="000000"/>
          <w:sz w:val="29"/>
          <w:szCs w:val="29"/>
          <w:bdr w:val="none" w:sz="0" w:space="0" w:color="auto" w:frame="1"/>
        </w:rPr>
        <w:t>7 sentence</w:t>
      </w:r>
      <w:proofErr w:type="gramEnd"/>
      <w:r w:rsidRPr="00DD1F7D">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18D53A9B" w14:textId="77777777" w:rsidR="00DD1F7D" w:rsidRDefault="00DD1F7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0E117330" w14:textId="77777777" w:rsidR="00276AB5" w:rsidRDefault="00276AB5"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19E4890" w14:textId="77777777" w:rsidR="00A8360D" w:rsidRDefault="00A8360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02E47406" w14:textId="77777777" w:rsidR="00DD1F7D" w:rsidRPr="00DD1F7D" w:rsidRDefault="00DD1F7D" w:rsidP="00DD1F7D">
      <w:pPr>
        <w:spacing w:after="0" w:line="240" w:lineRule="auto"/>
        <w:ind w:right="45"/>
        <w:outlineLvl w:val="2"/>
        <w:rPr>
          <w:rFonts w:ascii="inherit" w:eastAsia="Times New Roman" w:hAnsi="inherit" w:cs="Times New Roman"/>
          <w:b/>
          <w:bCs/>
          <w:color w:val="111111"/>
          <w:sz w:val="29"/>
          <w:szCs w:val="29"/>
        </w:rPr>
      </w:pPr>
      <w:r w:rsidRPr="00DD1F7D">
        <w:rPr>
          <w:rFonts w:ascii="inherit" w:eastAsia="Times New Roman" w:hAnsi="inherit" w:cs="Times New Roman"/>
          <w:b/>
          <w:bCs/>
          <w:color w:val="000000"/>
          <w:sz w:val="29"/>
          <w:szCs w:val="29"/>
          <w:bdr w:val="none" w:sz="0" w:space="0" w:color="auto" w:frame="1"/>
        </w:rPr>
        <w:t>Chapter 15: The Inclusive Workplace—Level III Inclusion through State/National Collaborations</w:t>
      </w:r>
      <w:r w:rsidRPr="00DD1F7D">
        <w:rPr>
          <w:rFonts w:ascii="inherit" w:eastAsia="Times New Roman" w:hAnsi="inherit" w:cs="Times New Roman"/>
          <w:b/>
          <w:bCs/>
          <w:color w:val="111111"/>
          <w:sz w:val="29"/>
          <w:szCs w:val="29"/>
        </w:rPr>
        <w:t xml:space="preserve"> </w:t>
      </w:r>
    </w:p>
    <w:p w14:paraId="1143B4D1" w14:textId="77777777" w:rsidR="00DD1F7D" w:rsidRPr="00DD1F7D" w:rsidRDefault="00DD1F7D" w:rsidP="00DD1F7D">
      <w:pPr>
        <w:spacing w:after="0" w:line="240" w:lineRule="auto"/>
        <w:ind w:right="12"/>
        <w:rPr>
          <w:rFonts w:ascii="inherit" w:eastAsia="Times New Roman" w:hAnsi="inherit" w:cs="Times New Roman"/>
          <w:color w:val="111111"/>
          <w:sz w:val="24"/>
          <w:szCs w:val="24"/>
        </w:rPr>
      </w:pPr>
      <w:r w:rsidRPr="00DD1F7D">
        <w:rPr>
          <w:rFonts w:ascii="&amp;quot" w:eastAsia="Times New Roman" w:hAnsi="&amp;quot" w:cs="Times New Roman"/>
          <w:b/>
          <w:bCs/>
          <w:color w:val="111111"/>
          <w:sz w:val="24"/>
          <w:szCs w:val="24"/>
          <w:bdr w:val="none" w:sz="0" w:space="0" w:color="auto" w:frame="1"/>
        </w:rPr>
        <w:t xml:space="preserve">Chapter Overview </w:t>
      </w:r>
    </w:p>
    <w:p w14:paraId="6D7C76F7" w14:textId="77777777" w:rsidR="00DD1F7D" w:rsidRPr="00DD1F7D" w:rsidRDefault="00DD1F7D" w:rsidP="00DD1F7D">
      <w:pPr>
        <w:spacing w:after="0" w:line="240" w:lineRule="auto"/>
        <w:rPr>
          <w:rFonts w:ascii="inherit" w:eastAsia="Times New Roman" w:hAnsi="inherit" w:cs="Times New Roman"/>
          <w:color w:val="111111"/>
          <w:sz w:val="24"/>
          <w:szCs w:val="24"/>
        </w:rPr>
      </w:pPr>
      <w:r w:rsidRPr="00DD1F7D">
        <w:rPr>
          <w:rFonts w:ascii="&amp;quot" w:eastAsia="Times New Roman" w:hAnsi="&amp;quot" w:cs="Times New Roman"/>
          <w:b/>
          <w:bCs/>
          <w:color w:val="111111"/>
          <w:sz w:val="24"/>
          <w:szCs w:val="24"/>
          <w:bdr w:val="none" w:sz="0" w:space="0" w:color="auto" w:frame="1"/>
        </w:rPr>
        <w:t xml:space="preserve">Overview of Level III: Inclusion Through State/National Collaborations </w:t>
      </w:r>
    </w:p>
    <w:p w14:paraId="5AECC5AF" w14:textId="77777777" w:rsidR="00DD1F7D" w:rsidRPr="00DD1F7D" w:rsidRDefault="00DD1F7D" w:rsidP="00DD1F7D">
      <w:pPr>
        <w:spacing w:after="0" w:line="240" w:lineRule="auto"/>
        <w:rPr>
          <w:rFonts w:ascii="inherit" w:eastAsia="Times New Roman" w:hAnsi="inherit" w:cs="Times New Roman"/>
          <w:color w:val="111111"/>
          <w:sz w:val="24"/>
          <w:szCs w:val="24"/>
        </w:rPr>
      </w:pPr>
      <w:r w:rsidRPr="00DD1F7D">
        <w:rPr>
          <w:rFonts w:ascii="&amp;quot" w:eastAsia="Times New Roman" w:hAnsi="&amp;quot" w:cs="Times New Roman"/>
          <w:color w:val="111111"/>
          <w:sz w:val="24"/>
          <w:szCs w:val="24"/>
          <w:bdr w:val="none" w:sz="0" w:space="0" w:color="auto" w:frame="1"/>
        </w:rPr>
        <w:t xml:space="preserve">The third level, </w:t>
      </w:r>
      <w:r w:rsidRPr="00DD1F7D">
        <w:rPr>
          <w:rFonts w:ascii="&amp;quot" w:eastAsia="Times New Roman" w:hAnsi="&amp;quot" w:cs="Times New Roman"/>
          <w:b/>
          <w:bCs/>
          <w:i/>
          <w:iCs/>
          <w:color w:val="111111"/>
          <w:sz w:val="24"/>
          <w:szCs w:val="24"/>
          <w:bdr w:val="none" w:sz="0" w:space="0" w:color="auto" w:frame="1"/>
        </w:rPr>
        <w:t>inclusion of disadvantaged groups through state/national collaborations</w:t>
      </w:r>
      <w:r w:rsidRPr="00DD1F7D">
        <w:rPr>
          <w:rFonts w:ascii="&amp;quot" w:eastAsia="Times New Roman" w:hAnsi="&amp;quot" w:cs="Times New Roman"/>
          <w:color w:val="111111"/>
          <w:sz w:val="24"/>
          <w:szCs w:val="24"/>
          <w:bdr w:val="none" w:sz="0" w:space="0" w:color="auto" w:frame="1"/>
        </w:rPr>
        <w:t xml:space="preserve">, refers to the values that drive organizational policies </w:t>
      </w:r>
      <w:proofErr w:type="gramStart"/>
      <w:r w:rsidRPr="00DD1F7D">
        <w:rPr>
          <w:rFonts w:ascii="&amp;quot" w:eastAsia="Times New Roman" w:hAnsi="&amp;quot" w:cs="Times New Roman"/>
          <w:color w:val="111111"/>
          <w:sz w:val="24"/>
          <w:szCs w:val="24"/>
          <w:bdr w:val="none" w:sz="0" w:space="0" w:color="auto" w:frame="1"/>
        </w:rPr>
        <w:t>with regard to</w:t>
      </w:r>
      <w:proofErr w:type="gramEnd"/>
      <w:r w:rsidRPr="00DD1F7D">
        <w:rPr>
          <w:rFonts w:ascii="&amp;quot" w:eastAsia="Times New Roman" w:hAnsi="&amp;quot" w:cs="Times New Roman"/>
          <w:color w:val="111111"/>
          <w:sz w:val="24"/>
          <w:szCs w:val="24"/>
          <w:bdr w:val="none" w:sz="0" w:space="0" w:color="auto" w:frame="1"/>
        </w:rPr>
        <w:t xml:space="preserve"> disadvantaged populations such as welfare recipients, domestic violence victims, and youth in distress. It reflects the “mezzo/macro” national system level of the state, or the federal government where appropriate. </w:t>
      </w:r>
    </w:p>
    <w:p w14:paraId="4868B067" w14:textId="77777777" w:rsidR="00DD1F7D" w:rsidRPr="00DD1F7D" w:rsidRDefault="00DD1F7D" w:rsidP="00DD1F7D">
      <w:pPr>
        <w:spacing w:after="0" w:line="240" w:lineRule="auto"/>
        <w:rPr>
          <w:rFonts w:ascii="inherit" w:eastAsia="Times New Roman" w:hAnsi="inherit" w:cs="Times New Roman"/>
          <w:color w:val="111111"/>
          <w:sz w:val="24"/>
          <w:szCs w:val="24"/>
        </w:rPr>
      </w:pPr>
      <w:r w:rsidRPr="00DD1F7D">
        <w:rPr>
          <w:rFonts w:ascii="&amp;quot" w:eastAsia="Times New Roman" w:hAnsi="&amp;quot" w:cs="Times New Roman"/>
          <w:color w:val="111111"/>
          <w:sz w:val="24"/>
          <w:szCs w:val="24"/>
          <w:bdr w:val="none" w:sz="0" w:space="0" w:color="auto" w:frame="1"/>
        </w:rPr>
        <w:t xml:space="preserve">The exclusionary workplace views disadvantaged populations as the sole domain of welfare agencies and charity organizations. The inclusive workplace perceives welfare recipients seeking work, domestic violence survivors, and youth in distress as a potentially stable and upwardly mobile workforce. As a result, the inclusive workplace will be more likely to, for example, invest in on-the-job training and evening educational classes for these groups, while the exclusionary organization will more readily dispose of these workers or not hire them in the first place. If corporations take appropriate initiative with respect to disadvantaged groups, social and legislative changes, such as the welfare-to-work reform, can be conceptualized as an opportunity to make the workplace more inclusive with respect to social class on the one hand, and give companies access to untapped human resources on the other hand. Besides the ethical and moral value of such actions, access to potential job seekers may be particularly important in tight job markets. </w:t>
      </w:r>
    </w:p>
    <w:p w14:paraId="7344337C" w14:textId="77777777" w:rsidR="00DD1F7D" w:rsidRPr="00DD1F7D" w:rsidRDefault="00DD1F7D" w:rsidP="00DD1F7D">
      <w:pPr>
        <w:spacing w:after="0" w:line="240" w:lineRule="auto"/>
        <w:rPr>
          <w:rFonts w:ascii="inherit" w:eastAsia="Times New Roman" w:hAnsi="inherit" w:cs="Times New Roman"/>
          <w:color w:val="111111"/>
          <w:sz w:val="24"/>
          <w:szCs w:val="24"/>
        </w:rPr>
      </w:pPr>
      <w:r w:rsidRPr="00DD1F7D">
        <w:rPr>
          <w:rFonts w:ascii="&amp;quot" w:eastAsia="Times New Roman" w:hAnsi="&amp;quot" w:cs="Times New Roman"/>
          <w:b/>
          <w:bCs/>
          <w:color w:val="111111"/>
          <w:sz w:val="24"/>
          <w:szCs w:val="24"/>
          <w:bdr w:val="none" w:sz="0" w:space="0" w:color="auto" w:frame="1"/>
        </w:rPr>
        <w:t>Barriers and Benefits of Implementing the Inclusive Approach at Level III</w:t>
      </w:r>
    </w:p>
    <w:p w14:paraId="1A78149C" w14:textId="77777777" w:rsidR="00DD1F7D" w:rsidRPr="00DD1F7D" w:rsidRDefault="00DD1F7D" w:rsidP="00DD1F7D">
      <w:pPr>
        <w:spacing w:after="0" w:line="240" w:lineRule="auto"/>
        <w:rPr>
          <w:rFonts w:ascii="inherit" w:eastAsia="Times New Roman" w:hAnsi="inherit" w:cs="Times New Roman"/>
          <w:color w:val="111111"/>
          <w:sz w:val="24"/>
          <w:szCs w:val="24"/>
        </w:rPr>
      </w:pPr>
      <w:r w:rsidRPr="00DD1F7D">
        <w:rPr>
          <w:rFonts w:ascii="&amp;quot" w:eastAsia="Times New Roman" w:hAnsi="&amp;quot" w:cs="Times New Roman"/>
          <w:color w:val="111111"/>
          <w:sz w:val="24"/>
          <w:szCs w:val="24"/>
          <w:bdr w:val="none" w:sz="0" w:space="0" w:color="auto" w:frame="1"/>
        </w:rPr>
        <w:t>See Figure 15.2 “The Inclusive Workplace Model: Obstacles and Benefits for Level III”</w:t>
      </w:r>
    </w:p>
    <w:p w14:paraId="0BBB6231" w14:textId="77777777" w:rsidR="00DD1F7D" w:rsidRPr="00DD1F7D" w:rsidRDefault="00DD1F7D" w:rsidP="00DD1F7D">
      <w:pPr>
        <w:spacing w:after="0" w:line="240" w:lineRule="auto"/>
        <w:rPr>
          <w:rFonts w:ascii="inherit" w:eastAsia="Times New Roman" w:hAnsi="inherit" w:cs="Times New Roman"/>
          <w:color w:val="111111"/>
          <w:sz w:val="24"/>
          <w:szCs w:val="24"/>
        </w:rPr>
      </w:pPr>
      <w:r w:rsidRPr="00DD1F7D">
        <w:rPr>
          <w:rFonts w:ascii="&amp;quot" w:eastAsia="Times New Roman" w:hAnsi="&amp;quot" w:cs="Times New Roman"/>
          <w:i/>
          <w:iCs/>
          <w:color w:val="111111"/>
          <w:sz w:val="24"/>
          <w:szCs w:val="24"/>
          <w:bdr w:val="none" w:sz="0" w:space="0" w:color="auto" w:frame="1"/>
        </w:rPr>
        <w:t>Barriers</w:t>
      </w:r>
      <w:r w:rsidRPr="00DD1F7D">
        <w:rPr>
          <w:rFonts w:ascii="&amp;quot" w:eastAsia="Times New Roman" w:hAnsi="&amp;quot" w:cs="Times New Roman"/>
          <w:color w:val="111111"/>
          <w:sz w:val="24"/>
          <w:szCs w:val="24"/>
          <w:bdr w:val="none" w:sz="0" w:space="0" w:color="auto" w:frame="1"/>
        </w:rPr>
        <w:t xml:space="preserve">. The main obstacle to implementing such programs is a limited corporate vision. Companies often focus only on the immediate needs and objectives of the company rather than considering the bigger picture that includes moral and ethical values as well as labor force trends and the larger organizational environment. Other obstacles are stereotypes and prejudices held by management and workers against disadvantaged populations such as welfare recipients, domestic violence victims, youth in distress, and against women and people of color in general. </w:t>
      </w:r>
    </w:p>
    <w:p w14:paraId="2EB2AA26" w14:textId="77777777" w:rsidR="00DD1F7D" w:rsidRPr="00DD1F7D" w:rsidRDefault="00DD1F7D" w:rsidP="00DD1F7D">
      <w:pPr>
        <w:spacing w:after="0" w:line="240" w:lineRule="auto"/>
        <w:rPr>
          <w:rFonts w:ascii="inherit" w:eastAsia="Times New Roman" w:hAnsi="inherit" w:cs="Times New Roman"/>
          <w:color w:val="111111"/>
          <w:sz w:val="24"/>
          <w:szCs w:val="24"/>
        </w:rPr>
      </w:pPr>
      <w:r w:rsidRPr="00DD1F7D">
        <w:rPr>
          <w:rFonts w:ascii="&amp;quot" w:eastAsia="Times New Roman" w:hAnsi="&amp;quot" w:cs="Times New Roman"/>
          <w:i/>
          <w:iCs/>
          <w:color w:val="111111"/>
          <w:sz w:val="24"/>
          <w:szCs w:val="24"/>
          <w:bdr w:val="none" w:sz="0" w:space="0" w:color="auto" w:frame="1"/>
        </w:rPr>
        <w:t>Benefits</w:t>
      </w:r>
      <w:r w:rsidRPr="00DD1F7D">
        <w:rPr>
          <w:rFonts w:ascii="&amp;quot" w:eastAsia="Times New Roman" w:hAnsi="&amp;quot" w:cs="Times New Roman"/>
          <w:color w:val="111111"/>
          <w:sz w:val="24"/>
          <w:szCs w:val="24"/>
          <w:bdr w:val="none" w:sz="0" w:space="0" w:color="auto" w:frame="1"/>
        </w:rPr>
        <w:t xml:space="preserve">. Including the working poor, domestic violence survivors, youth in need, and those with welfare histories in human resource planning and in policy initiatives of work organizations can benefit companies as well as individuals and their families. </w:t>
      </w:r>
      <w:proofErr w:type="gramStart"/>
      <w:r w:rsidRPr="00DD1F7D">
        <w:rPr>
          <w:rFonts w:ascii="&amp;quot" w:eastAsia="Times New Roman" w:hAnsi="&amp;quot" w:cs="Times New Roman"/>
          <w:color w:val="111111"/>
          <w:sz w:val="24"/>
          <w:szCs w:val="24"/>
          <w:bdr w:val="none" w:sz="0" w:space="0" w:color="auto" w:frame="1"/>
        </w:rPr>
        <w:t>Opening up</w:t>
      </w:r>
      <w:proofErr w:type="gramEnd"/>
      <w:r w:rsidRPr="00DD1F7D">
        <w:rPr>
          <w:rFonts w:ascii="&amp;quot" w:eastAsia="Times New Roman" w:hAnsi="&amp;quot" w:cs="Times New Roman"/>
          <w:color w:val="111111"/>
          <w:sz w:val="24"/>
          <w:szCs w:val="24"/>
          <w:bdr w:val="none" w:sz="0" w:space="0" w:color="auto" w:frame="1"/>
        </w:rPr>
        <w:t xml:space="preserve"> </w:t>
      </w:r>
      <w:r w:rsidRPr="00DD1F7D">
        <w:rPr>
          <w:rFonts w:ascii="&amp;quot" w:eastAsia="Times New Roman" w:hAnsi="&amp;quot" w:cs="Times New Roman"/>
          <w:color w:val="111111"/>
          <w:sz w:val="24"/>
          <w:szCs w:val="24"/>
          <w:bdr w:val="none" w:sz="0" w:space="0" w:color="auto" w:frame="1"/>
        </w:rPr>
        <w:lastRenderedPageBreak/>
        <w:t xml:space="preserve">employment and advancement opportunities for these populations may increase their chances of obtaining a higher paying job with better benefits that will release them from the vicious cycle of low-paying jobs that can barely suffice for the very basic needs. A by-product will be an increase in the pool of consumers with discretionary income. The economic benefits for companies include: gaining a more loyal workforce that is committed to the organization and has lower turnover rates as a result; expanding employee pools by tapping into expanded potential human resources; improving customer relations through better treatment of low-wage employees who are often front-line workers; having a more attractive, value-based corporate image that is more appealing to both customers and investors; and increasing the pool of consumers with discretionary income. </w:t>
      </w:r>
    </w:p>
    <w:p w14:paraId="17363E10" w14:textId="77777777" w:rsidR="00DD1F7D" w:rsidRPr="00DD1F7D" w:rsidRDefault="00DD1F7D" w:rsidP="00DD1F7D">
      <w:pPr>
        <w:spacing w:after="0" w:line="240" w:lineRule="auto"/>
        <w:rPr>
          <w:rFonts w:ascii="inherit" w:eastAsia="Times New Roman" w:hAnsi="inherit" w:cs="Times New Roman"/>
          <w:color w:val="111111"/>
          <w:sz w:val="24"/>
          <w:szCs w:val="24"/>
        </w:rPr>
      </w:pPr>
      <w:r w:rsidRPr="00DD1F7D">
        <w:rPr>
          <w:rFonts w:ascii="&amp;quot" w:eastAsia="Times New Roman" w:hAnsi="&amp;quot" w:cs="Times New Roman"/>
          <w:b/>
          <w:bCs/>
          <w:color w:val="111111"/>
          <w:sz w:val="24"/>
          <w:szCs w:val="24"/>
          <w:bdr w:val="none" w:sz="0" w:space="0" w:color="auto" w:frame="1"/>
        </w:rPr>
        <w:t xml:space="preserve">Case Illustration: Level III—Inclusion of Disadvantaged Groups at the National/State Level – Eurest </w:t>
      </w:r>
    </w:p>
    <w:p w14:paraId="16F79F84" w14:textId="77777777" w:rsidR="00DD1F7D" w:rsidRPr="00DD1F7D" w:rsidRDefault="00DD1F7D" w:rsidP="00DD1F7D">
      <w:pPr>
        <w:spacing w:after="0" w:line="240" w:lineRule="auto"/>
        <w:outlineLvl w:val="2"/>
        <w:rPr>
          <w:rFonts w:ascii="inherit" w:eastAsia="Times New Roman" w:hAnsi="inherit" w:cs="Times New Roman"/>
          <w:b/>
          <w:bCs/>
          <w:color w:val="111111"/>
          <w:sz w:val="26"/>
          <w:szCs w:val="26"/>
        </w:rPr>
      </w:pPr>
      <w:r w:rsidRPr="00DD1F7D">
        <w:rPr>
          <w:rFonts w:ascii="&amp;quot" w:eastAsia="Times New Roman" w:hAnsi="&amp;quot" w:cs="Times New Roman"/>
          <w:b/>
          <w:bCs/>
          <w:i/>
          <w:iCs/>
          <w:sz w:val="26"/>
          <w:szCs w:val="26"/>
          <w:bdr w:val="none" w:sz="0" w:space="0" w:color="auto" w:frame="1"/>
        </w:rPr>
        <w:t>History of the Aboriginals</w:t>
      </w:r>
    </w:p>
    <w:p w14:paraId="34AF4B2B" w14:textId="77777777" w:rsidR="00DD1F7D" w:rsidRPr="00DD1F7D" w:rsidRDefault="00DD1F7D" w:rsidP="00DD1F7D">
      <w:pPr>
        <w:spacing w:after="0" w:line="240" w:lineRule="auto"/>
        <w:rPr>
          <w:rFonts w:ascii="inherit" w:eastAsia="Times New Roman" w:hAnsi="inherit" w:cs="Times New Roman"/>
          <w:color w:val="111111"/>
          <w:sz w:val="24"/>
          <w:szCs w:val="24"/>
        </w:rPr>
      </w:pPr>
      <w:r w:rsidRPr="00DD1F7D">
        <w:rPr>
          <w:rFonts w:ascii="&amp;quot" w:eastAsia="Times New Roman" w:hAnsi="&amp;quot" w:cs="Times New Roman"/>
          <w:color w:val="111111"/>
          <w:sz w:val="24"/>
          <w:szCs w:val="24"/>
          <w:bdr w:val="none" w:sz="0" w:space="0" w:color="auto" w:frame="1"/>
        </w:rPr>
        <w:t>Britain first colonized Australia in 1788, when the native population of Australia, known as Aboriginals, totaled approximately 750,000. As a result of disease and warfare with the settlers, the Aboriginal population dwindled to fewer than 50,000 by 1901. Although Britain did not sanction attacks on the Aboriginals, they passed numerous laws that put the native population at a disadvantage (for example, by stripping Aboriginals of their land rights and limiting legal protection).</w:t>
      </w:r>
    </w:p>
    <w:p w14:paraId="43E37DA6" w14:textId="77777777" w:rsidR="00DD1F7D" w:rsidRPr="00DD1F7D" w:rsidRDefault="00DD1F7D" w:rsidP="00DD1F7D">
      <w:pPr>
        <w:spacing w:after="0" w:line="240" w:lineRule="auto"/>
        <w:rPr>
          <w:rFonts w:ascii="inherit" w:eastAsia="Times New Roman" w:hAnsi="inherit" w:cs="Times New Roman"/>
          <w:color w:val="111111"/>
          <w:sz w:val="24"/>
          <w:szCs w:val="24"/>
        </w:rPr>
      </w:pPr>
      <w:r w:rsidRPr="00DD1F7D">
        <w:rPr>
          <w:rFonts w:ascii="&amp;quot" w:eastAsia="Times New Roman" w:hAnsi="&amp;quot" w:cs="Times New Roman"/>
          <w:color w:val="111111"/>
          <w:sz w:val="24"/>
          <w:szCs w:val="24"/>
          <w:bdr w:val="none" w:sz="0" w:space="0" w:color="auto" w:frame="1"/>
        </w:rPr>
        <w:t xml:space="preserve">In 1837, the British House of Commons Select Committee on Aborigines acknowledged some of the Aboriginal killings. This atonement began with the passing of several laws ostensibly designed to protect the Aboriginals, including The Aboriginal Protection Act of 1869. This Act gave the governor the right to decide where any Aboriginal could live and the power to determine the care, custody, and education of Aboriginal children, a provision that controversially remained in effect until the 1970s. Building on the 1869 Aboriginal Protection Act, a 1918 Northern Territory ordinance provided for the protection of Aboriginal children which actually resulted in the removal of mixed descent children from their Aboriginal parents and in their raising by non-Aboriginal “White” parents. Despite the controversy surrounding the forced separation of families and the stripping of land rights, the Aboriginals were unable to challenge these laws for two reasons. First, they were not citizens. Second, Aboriginals were non-Christians, who, by British definition, could not swear an oath. </w:t>
      </w:r>
    </w:p>
    <w:p w14:paraId="095818A8" w14:textId="77777777" w:rsidR="00DD1F7D" w:rsidRPr="00DD1F7D" w:rsidRDefault="00DD1F7D" w:rsidP="00DD1F7D">
      <w:pPr>
        <w:spacing w:after="0" w:line="240" w:lineRule="auto"/>
        <w:outlineLvl w:val="2"/>
        <w:rPr>
          <w:rFonts w:ascii="inherit" w:eastAsia="Times New Roman" w:hAnsi="inherit" w:cs="Times New Roman"/>
          <w:b/>
          <w:bCs/>
          <w:color w:val="111111"/>
          <w:sz w:val="26"/>
          <w:szCs w:val="26"/>
        </w:rPr>
      </w:pPr>
      <w:r w:rsidRPr="00DD1F7D">
        <w:rPr>
          <w:rFonts w:ascii="&amp;quot" w:eastAsia="Times New Roman" w:hAnsi="&amp;quot" w:cs="Times New Roman"/>
          <w:b/>
          <w:bCs/>
          <w:i/>
          <w:iCs/>
          <w:sz w:val="26"/>
          <w:szCs w:val="26"/>
          <w:bdr w:val="none" w:sz="0" w:space="0" w:color="auto" w:frame="1"/>
        </w:rPr>
        <w:t>Australia’s Plan to Mend the Injustices</w:t>
      </w:r>
    </w:p>
    <w:p w14:paraId="13B6A639" w14:textId="77777777" w:rsidR="00DD1F7D" w:rsidRPr="00DD1F7D" w:rsidRDefault="00DD1F7D" w:rsidP="00DD1F7D">
      <w:pPr>
        <w:spacing w:after="0" w:line="240" w:lineRule="auto"/>
        <w:rPr>
          <w:rFonts w:ascii="inherit" w:eastAsia="Times New Roman" w:hAnsi="inherit" w:cs="Times New Roman"/>
          <w:color w:val="111111"/>
          <w:sz w:val="24"/>
          <w:szCs w:val="24"/>
        </w:rPr>
      </w:pPr>
      <w:r w:rsidRPr="00DD1F7D">
        <w:rPr>
          <w:rFonts w:ascii="&amp;quot" w:eastAsia="Times New Roman" w:hAnsi="&amp;quot" w:cs="Times New Roman"/>
          <w:i/>
          <w:iCs/>
          <w:color w:val="111111"/>
          <w:sz w:val="24"/>
          <w:szCs w:val="24"/>
          <w:bdr w:val="none" w:sz="0" w:space="0" w:color="auto" w:frame="1"/>
        </w:rPr>
        <w:t>New Laws.</w:t>
      </w:r>
      <w:r w:rsidRPr="00DD1F7D">
        <w:rPr>
          <w:rFonts w:ascii="&amp;quot" w:eastAsia="Times New Roman" w:hAnsi="&amp;quot" w:cs="Times New Roman"/>
          <w:color w:val="111111"/>
          <w:sz w:val="24"/>
          <w:szCs w:val="24"/>
          <w:bdr w:val="none" w:sz="0" w:space="0" w:color="auto" w:frame="1"/>
        </w:rPr>
        <w:t xml:space="preserve"> Past laws, which were designed to protect the Aborigines, created more problems than they solved, such as the forced separation of families to protect the children. However, starting in the mid-1900s, tangible progress in the laws began, the most significant of which was Australia’s granting citizenship to Aboriginals in 1967 (providing opportunities to testify in court and challenge laws as well as vote). In 1992, Australia granted some limited indigenous land rights to the Aboriginal people as well as enacting a plan to help families that were forcibly separated including AU$63 million to reunite families and provide counseling. </w:t>
      </w:r>
    </w:p>
    <w:p w14:paraId="61138D3B" w14:textId="77777777" w:rsidR="00DD1F7D" w:rsidRPr="00DD1F7D" w:rsidRDefault="00DD1F7D" w:rsidP="00DD1F7D">
      <w:pPr>
        <w:spacing w:after="0" w:line="240" w:lineRule="auto"/>
        <w:rPr>
          <w:rFonts w:ascii="inherit" w:eastAsia="Times New Roman" w:hAnsi="inherit" w:cs="Times New Roman"/>
          <w:color w:val="111111"/>
          <w:sz w:val="24"/>
          <w:szCs w:val="24"/>
        </w:rPr>
      </w:pPr>
      <w:r w:rsidRPr="00DD1F7D">
        <w:rPr>
          <w:rFonts w:ascii="&amp;quot" w:eastAsia="Times New Roman" w:hAnsi="&amp;quot" w:cs="Times New Roman"/>
          <w:i/>
          <w:iCs/>
          <w:color w:val="111111"/>
          <w:sz w:val="24"/>
          <w:szCs w:val="24"/>
          <w:bdr w:val="none" w:sz="0" w:space="0" w:color="auto" w:frame="1"/>
        </w:rPr>
        <w:t>Indigenous Employment Plan.</w:t>
      </w:r>
      <w:r w:rsidRPr="00DD1F7D">
        <w:rPr>
          <w:rFonts w:ascii="&amp;quot" w:eastAsia="Times New Roman" w:hAnsi="&amp;quot" w:cs="Times New Roman"/>
          <w:color w:val="111111"/>
          <w:sz w:val="24"/>
          <w:szCs w:val="24"/>
          <w:bdr w:val="none" w:sz="0" w:space="0" w:color="auto" w:frame="1"/>
        </w:rPr>
        <w:t xml:space="preserve"> As of June 3, 2011, the Aboriginal population rebounded to represent 2.5% of the total Australian population. However, the Aborigines represented a significantly higher proportion of the unemployed. Fueled by the indigenous population’s high unemployment rate and higher than average population growth rate, the Australian </w:t>
      </w:r>
      <w:r w:rsidRPr="00DD1F7D">
        <w:rPr>
          <w:rFonts w:ascii="&amp;quot" w:eastAsia="Times New Roman" w:hAnsi="&amp;quot" w:cs="Times New Roman"/>
          <w:color w:val="111111"/>
          <w:sz w:val="24"/>
          <w:szCs w:val="24"/>
          <w:bdr w:val="none" w:sz="0" w:space="0" w:color="auto" w:frame="1"/>
        </w:rPr>
        <w:lastRenderedPageBreak/>
        <w:t xml:space="preserve">Federal Government implemented the Indigenous Employment Plan in 1999, which was composed of several key areas: the Corporate Leaders Project, wage assistance structured training and employment projects, the National Indigenous Cadetship Project, the Indigenous Small Business Fund, Community Development Employment Projects Placement Incentive, and Voluntary Service to Indigenous Communities. </w:t>
      </w:r>
    </w:p>
    <w:p w14:paraId="461DF6EF" w14:textId="77777777" w:rsidR="00DD1F7D" w:rsidRPr="00DD1F7D" w:rsidRDefault="00DD1F7D" w:rsidP="00DD1F7D">
      <w:pPr>
        <w:spacing w:after="0" w:line="240" w:lineRule="auto"/>
        <w:outlineLvl w:val="2"/>
        <w:rPr>
          <w:rFonts w:ascii="inherit" w:eastAsia="Times New Roman" w:hAnsi="inherit" w:cs="Times New Roman"/>
          <w:b/>
          <w:bCs/>
          <w:color w:val="111111"/>
          <w:sz w:val="26"/>
          <w:szCs w:val="26"/>
        </w:rPr>
      </w:pPr>
      <w:r w:rsidRPr="00DD1F7D">
        <w:rPr>
          <w:rFonts w:ascii="&amp;quot" w:eastAsia="Times New Roman" w:hAnsi="&amp;quot" w:cs="Times New Roman"/>
          <w:b/>
          <w:bCs/>
          <w:i/>
          <w:iCs/>
          <w:sz w:val="26"/>
          <w:szCs w:val="26"/>
          <w:bdr w:val="none" w:sz="0" w:space="0" w:color="auto" w:frame="1"/>
        </w:rPr>
        <w:t>Eurest</w:t>
      </w:r>
    </w:p>
    <w:p w14:paraId="06971B40" w14:textId="77777777" w:rsidR="00DD1F7D" w:rsidRPr="00DD1F7D" w:rsidRDefault="00DD1F7D" w:rsidP="00DD1F7D">
      <w:pPr>
        <w:spacing w:after="0" w:line="240" w:lineRule="auto"/>
        <w:rPr>
          <w:rFonts w:ascii="inherit" w:eastAsia="Times New Roman" w:hAnsi="inherit" w:cs="Times New Roman"/>
          <w:color w:val="111111"/>
          <w:sz w:val="24"/>
          <w:szCs w:val="24"/>
        </w:rPr>
      </w:pPr>
      <w:r w:rsidRPr="00DD1F7D">
        <w:rPr>
          <w:rFonts w:ascii="&amp;quot" w:eastAsia="Times New Roman" w:hAnsi="&amp;quot" w:cs="Times New Roman"/>
          <w:color w:val="111111"/>
          <w:sz w:val="24"/>
          <w:szCs w:val="24"/>
          <w:bdr w:val="none" w:sz="0" w:space="0" w:color="auto" w:frame="1"/>
        </w:rPr>
        <w:t xml:space="preserve">Eurest is the largest foodservice company in Australia, employing 7,050 people at more than 500 sites, as of 2001. Additionally, they have operations in New Zealand and Papua New Guinea. Some of their businesses include catering and managing concession stands and cafeterias across a broad array of industries (e.g., schools, health care facilities, sporting venues, armed forces, and airports). Eurest was formed in 1997 as a joint venture between Compass Group, the world’s leading foodservice organization, and Accor, the world’s largest hotel and tourism service company. </w:t>
      </w:r>
    </w:p>
    <w:p w14:paraId="6DFD135B" w14:textId="77777777" w:rsidR="00DD1F7D" w:rsidRPr="00DD1F7D" w:rsidRDefault="00DD1F7D" w:rsidP="00DD1F7D">
      <w:pPr>
        <w:spacing w:after="0" w:line="240" w:lineRule="auto"/>
        <w:rPr>
          <w:rFonts w:ascii="inherit" w:eastAsia="Times New Roman" w:hAnsi="inherit" w:cs="Times New Roman"/>
          <w:color w:val="111111"/>
          <w:sz w:val="24"/>
          <w:szCs w:val="24"/>
        </w:rPr>
      </w:pPr>
      <w:r w:rsidRPr="00DD1F7D">
        <w:rPr>
          <w:rFonts w:ascii="&amp;quot" w:eastAsia="Times New Roman" w:hAnsi="&amp;quot" w:cs="Times New Roman"/>
          <w:i/>
          <w:iCs/>
          <w:color w:val="111111"/>
          <w:sz w:val="24"/>
          <w:szCs w:val="24"/>
          <w:bdr w:val="none" w:sz="0" w:space="0" w:color="auto" w:frame="1"/>
        </w:rPr>
        <w:t xml:space="preserve">Indigenous Training and Employment Program. </w:t>
      </w:r>
      <w:r w:rsidRPr="00DD1F7D">
        <w:rPr>
          <w:rFonts w:ascii="&amp;quot" w:eastAsia="Times New Roman" w:hAnsi="&amp;quot" w:cs="Times New Roman"/>
          <w:color w:val="111111"/>
          <w:sz w:val="24"/>
          <w:szCs w:val="24"/>
          <w:bdr w:val="none" w:sz="0" w:space="0" w:color="auto" w:frame="1"/>
        </w:rPr>
        <w:t xml:space="preserve">In 1998, Eurest was one of the first businesses to begin working with the Australian government to promote employment opportunities for Australia’s indigenous population. A year later, Australia’s Indigenous Employment Plan was born. While the government was developing this program, Eurest was busy developing its own—the Indigenous Training and Employment Program (ITEP). Eurest’s ITEP supports the government’s goals of indigenous employment. Specifically, ITEP teaches new work skills, integrated with consultation and mutual understanding of local communities. </w:t>
      </w:r>
    </w:p>
    <w:p w14:paraId="20DC713D" w14:textId="77777777" w:rsidR="00DD1F7D" w:rsidRPr="00DD1F7D" w:rsidRDefault="00DD1F7D" w:rsidP="00DD1F7D">
      <w:pPr>
        <w:spacing w:after="0" w:line="240" w:lineRule="auto"/>
        <w:rPr>
          <w:rFonts w:ascii="inherit" w:eastAsia="Times New Roman" w:hAnsi="inherit" w:cs="Times New Roman"/>
          <w:color w:val="111111"/>
          <w:sz w:val="24"/>
          <w:szCs w:val="24"/>
        </w:rPr>
      </w:pPr>
      <w:r w:rsidRPr="00DD1F7D">
        <w:rPr>
          <w:rFonts w:ascii="&amp;quot" w:eastAsia="Times New Roman" w:hAnsi="&amp;quot" w:cs="Times New Roman"/>
          <w:color w:val="111111"/>
          <w:sz w:val="24"/>
          <w:szCs w:val="24"/>
          <w:bdr w:val="none" w:sz="0" w:space="0" w:color="auto" w:frame="1"/>
        </w:rPr>
        <w:t>Eurest secured a $10–12 million contract to supply catering, cleaning, retail, canteen, gardening, and general maintenance for construction camps during the railway project, which was expected to last two years. The railway project was ideal for Aboriginal people since it ran through remote areas, which is where many Aboriginals live, and required skills that are familiar to Aboriginals.</w:t>
      </w:r>
    </w:p>
    <w:p w14:paraId="43F0E948" w14:textId="77777777" w:rsidR="00DD1F7D" w:rsidRPr="00DD1F7D" w:rsidRDefault="00DD1F7D" w:rsidP="00DD1F7D">
      <w:pPr>
        <w:spacing w:after="0" w:line="240" w:lineRule="auto"/>
        <w:rPr>
          <w:rFonts w:ascii="inherit" w:eastAsia="Times New Roman" w:hAnsi="inherit" w:cs="Times New Roman"/>
          <w:color w:val="111111"/>
          <w:sz w:val="24"/>
          <w:szCs w:val="24"/>
        </w:rPr>
      </w:pPr>
      <w:r w:rsidRPr="00DD1F7D">
        <w:rPr>
          <w:rFonts w:ascii="&amp;quot" w:eastAsia="Times New Roman" w:hAnsi="&amp;quot" w:cs="Times New Roman"/>
          <w:i/>
          <w:iCs/>
          <w:color w:val="111111"/>
          <w:sz w:val="24"/>
          <w:szCs w:val="24"/>
          <w:bdr w:val="none" w:sz="0" w:space="0" w:color="auto" w:frame="1"/>
        </w:rPr>
        <w:t>Awards</w:t>
      </w:r>
      <w:r w:rsidRPr="00DD1F7D">
        <w:rPr>
          <w:rFonts w:ascii="&amp;quot" w:eastAsia="Times New Roman" w:hAnsi="&amp;quot" w:cs="Times New Roman"/>
          <w:color w:val="111111"/>
          <w:sz w:val="24"/>
          <w:szCs w:val="24"/>
          <w:bdr w:val="none" w:sz="0" w:space="0" w:color="auto" w:frame="1"/>
        </w:rPr>
        <w:t>. The result of Eurest’s efforts is not only greater employment opportunities for Australia’s indigenous population, but also the receipt of many accolades for the company. Some of the awards include the Australian National Training Authority—Australian Training Award—winner of the Industry Category for hospitality; Department for Employment, Workplace Relations and Small Business—NAIDOC Award (2000); and the Corporate Leaders for Indigenous Employment Awards—Finalist in the Outstanding Organization category (2002).</w:t>
      </w:r>
    </w:p>
    <w:p w14:paraId="0C324ADF" w14:textId="77777777" w:rsidR="00DD1F7D" w:rsidRPr="00DD1F7D" w:rsidRDefault="00DD1F7D" w:rsidP="00DD1F7D">
      <w:pPr>
        <w:spacing w:after="0" w:line="240" w:lineRule="auto"/>
        <w:outlineLvl w:val="2"/>
        <w:rPr>
          <w:rFonts w:ascii="inherit" w:eastAsia="Times New Roman" w:hAnsi="inherit" w:cs="Times New Roman"/>
          <w:b/>
          <w:bCs/>
          <w:color w:val="111111"/>
          <w:sz w:val="26"/>
          <w:szCs w:val="26"/>
        </w:rPr>
      </w:pPr>
      <w:r w:rsidRPr="00DD1F7D">
        <w:rPr>
          <w:rFonts w:ascii="&amp;quot" w:eastAsia="Times New Roman" w:hAnsi="&amp;quot" w:cs="Times New Roman"/>
          <w:i/>
          <w:iCs/>
          <w:sz w:val="26"/>
          <w:szCs w:val="26"/>
          <w:bdr w:val="none" w:sz="0" w:space="0" w:color="auto" w:frame="1"/>
        </w:rPr>
        <w:t xml:space="preserve">Continuing Controversy. </w:t>
      </w:r>
      <w:r w:rsidRPr="00DD1F7D">
        <w:rPr>
          <w:rFonts w:ascii="&amp;quot" w:eastAsia="Times New Roman" w:hAnsi="&amp;quot" w:cs="Times New Roman"/>
          <w:sz w:val="26"/>
          <w:szCs w:val="26"/>
          <w:bdr w:val="none" w:sz="0" w:space="0" w:color="auto" w:frame="1"/>
        </w:rPr>
        <w:t xml:space="preserve">Controversy continues for Australia regarding its interactions with the Aboriginal people. For example, the Australian parliament believed that the money allocated to help separated families was not enough. They recommended compensating families that had been forcibly separated. However, the Australian government formally rejected that recommendation in 2001. Part of the reason for the controversy surrounding the family-separation issue is a matter of definition. Some argue that the forced removal of Aboriginal children is an act of genocide; others disagreed. Regardless of the various laws and definitions of events, the Aboriginal people have had one basic request that for many years went unanswered: that the Australian government will issue an apology. On February 13, 2008, their request was answered. </w:t>
      </w:r>
    </w:p>
    <w:p w14:paraId="006F0D14" w14:textId="77777777" w:rsidR="00DD1F7D" w:rsidRPr="00DD1F7D" w:rsidRDefault="00DD1F7D" w:rsidP="00DD1F7D">
      <w:pPr>
        <w:spacing w:after="240" w:line="240" w:lineRule="auto"/>
        <w:rPr>
          <w:rFonts w:ascii="inherit" w:eastAsia="Times New Roman" w:hAnsi="inherit" w:cs="Times New Roman"/>
          <w:color w:val="111111"/>
          <w:sz w:val="24"/>
          <w:szCs w:val="24"/>
        </w:rPr>
      </w:pPr>
      <w:r w:rsidRPr="00DD1F7D">
        <w:rPr>
          <w:rFonts w:ascii="&amp;quot" w:eastAsia="Times New Roman" w:hAnsi="&amp;quot" w:cs="Times New Roman"/>
          <w:i/>
          <w:iCs/>
          <w:color w:val="111111"/>
          <w:sz w:val="24"/>
          <w:szCs w:val="24"/>
        </w:rPr>
        <w:lastRenderedPageBreak/>
        <w:t xml:space="preserve">Closing the Gap. </w:t>
      </w:r>
      <w:r w:rsidRPr="00DD1F7D">
        <w:rPr>
          <w:rFonts w:ascii="inherit" w:eastAsia="Times New Roman" w:hAnsi="inherit" w:cs="Times New Roman"/>
          <w:color w:val="111111"/>
          <w:sz w:val="24"/>
          <w:szCs w:val="24"/>
        </w:rPr>
        <w:t xml:space="preserve">Months after the apology, the government authorized Closing </w:t>
      </w:r>
      <w:proofErr w:type="gramStart"/>
      <w:r w:rsidRPr="00DD1F7D">
        <w:rPr>
          <w:rFonts w:ascii="inherit" w:eastAsia="Times New Roman" w:hAnsi="inherit" w:cs="Times New Roman"/>
          <w:color w:val="111111"/>
          <w:sz w:val="24"/>
          <w:szCs w:val="24"/>
        </w:rPr>
        <w:t>The</w:t>
      </w:r>
      <w:proofErr w:type="gramEnd"/>
      <w:r w:rsidRPr="00DD1F7D">
        <w:rPr>
          <w:rFonts w:ascii="inherit" w:eastAsia="Times New Roman" w:hAnsi="inherit" w:cs="Times New Roman"/>
          <w:color w:val="111111"/>
          <w:sz w:val="24"/>
          <w:szCs w:val="24"/>
        </w:rPr>
        <w:t xml:space="preserve"> Gap (CTG), to close the gap and increase health and overall well-being for the Aboriginal population. The Australian governments’ efforts to close the gap continue. In October 2008, the Australian Employment Covenant (AEC) was developed to create 50,000 new jobs for indigenous Australians within a two-year span. At the end of the two-year period, the plan secured approximately 20,000 job pledges from employers and only approximately 2,800 job placements, well short of the AEC’s original goal.</w:t>
      </w:r>
    </w:p>
    <w:p w14:paraId="3F55775B" w14:textId="77777777" w:rsidR="00DD1F7D" w:rsidRPr="00DD1F7D" w:rsidRDefault="00DD1F7D" w:rsidP="00DD1F7D">
      <w:pPr>
        <w:spacing w:after="0" w:line="240" w:lineRule="auto"/>
        <w:outlineLvl w:val="2"/>
        <w:rPr>
          <w:rFonts w:ascii="inherit" w:eastAsia="Times New Roman" w:hAnsi="inherit" w:cs="Times New Roman"/>
          <w:b/>
          <w:bCs/>
          <w:color w:val="111111"/>
          <w:sz w:val="26"/>
          <w:szCs w:val="26"/>
        </w:rPr>
      </w:pPr>
      <w:r w:rsidRPr="00DD1F7D">
        <w:rPr>
          <w:rFonts w:ascii="&amp;quot" w:eastAsia="Times New Roman" w:hAnsi="&amp;quot" w:cs="Times New Roman"/>
          <w:b/>
          <w:bCs/>
          <w:sz w:val="26"/>
          <w:szCs w:val="26"/>
          <w:bdr w:val="none" w:sz="0" w:space="0" w:color="auto" w:frame="1"/>
        </w:rPr>
        <w:t>Questions for Discussion and Further Analysis</w:t>
      </w:r>
    </w:p>
    <w:p w14:paraId="4CD0B5A7" w14:textId="77777777" w:rsidR="00DD1F7D" w:rsidRPr="00DD1F7D" w:rsidRDefault="00DD1F7D" w:rsidP="00DD1F7D">
      <w:pPr>
        <w:numPr>
          <w:ilvl w:val="0"/>
          <w:numId w:val="14"/>
        </w:numPr>
        <w:spacing w:after="0" w:line="240" w:lineRule="auto"/>
        <w:ind w:left="360"/>
        <w:rPr>
          <w:rFonts w:ascii="inherit" w:eastAsia="Times New Roman" w:hAnsi="inherit" w:cs="Times New Roman"/>
          <w:color w:val="111111"/>
          <w:sz w:val="24"/>
          <w:szCs w:val="24"/>
        </w:rPr>
      </w:pPr>
      <w:r w:rsidRPr="00DD1F7D">
        <w:rPr>
          <w:rFonts w:ascii="&amp;quot" w:eastAsia="Times New Roman" w:hAnsi="&amp;quot" w:cs="Times New Roman"/>
          <w:color w:val="111111"/>
          <w:sz w:val="24"/>
          <w:szCs w:val="24"/>
          <w:bdr w:val="none" w:sz="0" w:space="0" w:color="auto" w:frame="1"/>
        </w:rPr>
        <w:t>What impact might the government’s subsidization of Aborigines’ employment have in the short term? Long term?</w:t>
      </w:r>
    </w:p>
    <w:p w14:paraId="7DD59391" w14:textId="77777777" w:rsidR="00DD1F7D" w:rsidRPr="00DD1F7D" w:rsidRDefault="00DD1F7D" w:rsidP="00DD1F7D">
      <w:pPr>
        <w:numPr>
          <w:ilvl w:val="0"/>
          <w:numId w:val="14"/>
        </w:numPr>
        <w:spacing w:after="0" w:line="240" w:lineRule="auto"/>
        <w:ind w:left="360"/>
        <w:rPr>
          <w:rFonts w:ascii="inherit" w:eastAsia="Times New Roman" w:hAnsi="inherit" w:cs="Times New Roman"/>
          <w:color w:val="111111"/>
          <w:sz w:val="24"/>
          <w:szCs w:val="24"/>
        </w:rPr>
      </w:pPr>
      <w:r w:rsidRPr="00DD1F7D">
        <w:rPr>
          <w:rFonts w:ascii="&amp;quot" w:eastAsia="Times New Roman" w:hAnsi="&amp;quot" w:cs="Times New Roman"/>
          <w:color w:val="111111"/>
          <w:sz w:val="24"/>
          <w:szCs w:val="24"/>
          <w:bdr w:val="none" w:sz="0" w:space="0" w:color="auto" w:frame="1"/>
        </w:rPr>
        <w:t>Does the fact Eurest receives money for training and hiring indigenous employees impact the perceived value of Eurest’s action? Why or why not?</w:t>
      </w:r>
    </w:p>
    <w:p w14:paraId="058B21F5" w14:textId="77777777" w:rsidR="00DD1F7D" w:rsidRPr="00DD1F7D" w:rsidRDefault="00DD1F7D" w:rsidP="00DD1F7D">
      <w:pPr>
        <w:numPr>
          <w:ilvl w:val="0"/>
          <w:numId w:val="14"/>
        </w:numPr>
        <w:spacing w:after="0" w:line="240" w:lineRule="auto"/>
        <w:ind w:left="360"/>
        <w:rPr>
          <w:rFonts w:ascii="inherit" w:eastAsia="Times New Roman" w:hAnsi="inherit" w:cs="Times New Roman"/>
          <w:color w:val="111111"/>
          <w:sz w:val="24"/>
          <w:szCs w:val="24"/>
        </w:rPr>
      </w:pPr>
      <w:r w:rsidRPr="00DD1F7D">
        <w:rPr>
          <w:rFonts w:ascii="&amp;quot" w:eastAsia="Times New Roman" w:hAnsi="&amp;quot" w:cs="Times New Roman"/>
          <w:color w:val="111111"/>
          <w:sz w:val="24"/>
          <w:szCs w:val="24"/>
          <w:bdr w:val="none" w:sz="0" w:space="0" w:color="auto" w:frame="1"/>
        </w:rPr>
        <w:t>How might Eurest’s Aborigines Employment Plan impact customer perceptions of Eurest? How might it impact employee morale?</w:t>
      </w:r>
    </w:p>
    <w:p w14:paraId="45A26648" w14:textId="77777777" w:rsidR="00DD1F7D" w:rsidRPr="00DD1F7D" w:rsidRDefault="00DD1F7D" w:rsidP="00DD1F7D">
      <w:pPr>
        <w:numPr>
          <w:ilvl w:val="0"/>
          <w:numId w:val="14"/>
        </w:numPr>
        <w:spacing w:after="0" w:line="240" w:lineRule="auto"/>
        <w:ind w:left="360"/>
        <w:rPr>
          <w:rFonts w:ascii="inherit" w:eastAsia="Times New Roman" w:hAnsi="inherit" w:cs="Times New Roman"/>
          <w:color w:val="111111"/>
          <w:sz w:val="24"/>
          <w:szCs w:val="24"/>
        </w:rPr>
      </w:pPr>
      <w:r w:rsidRPr="00DD1F7D">
        <w:rPr>
          <w:rFonts w:ascii="&amp;quot" w:eastAsia="Times New Roman" w:hAnsi="&amp;quot" w:cs="Times New Roman"/>
          <w:color w:val="111111"/>
          <w:sz w:val="24"/>
          <w:szCs w:val="24"/>
          <w:bdr w:val="none" w:sz="0" w:space="0" w:color="auto" w:frame="1"/>
        </w:rPr>
        <w:t xml:space="preserve">Eurest’s ITEP includes two key elements not specifically addressed in the government’s plan: (a) the gradual introduction of indigenous employees to the workplace and (b) a dedicated ITEP manager. </w:t>
      </w:r>
    </w:p>
    <w:p w14:paraId="023AAD6E" w14:textId="77777777" w:rsidR="00DD1F7D" w:rsidRPr="00DD1F7D" w:rsidRDefault="00DD1F7D" w:rsidP="00DD1F7D">
      <w:pPr>
        <w:spacing w:after="0" w:line="240" w:lineRule="auto"/>
        <w:ind w:left="360"/>
        <w:rPr>
          <w:rFonts w:ascii="inherit" w:eastAsia="Times New Roman" w:hAnsi="inherit" w:cs="Times New Roman"/>
          <w:color w:val="111111"/>
          <w:sz w:val="24"/>
          <w:szCs w:val="24"/>
        </w:rPr>
      </w:pPr>
      <w:r w:rsidRPr="00DD1F7D">
        <w:rPr>
          <w:rFonts w:ascii="&amp;quot" w:eastAsia="Times New Roman" w:hAnsi="&amp;quot" w:cs="Times New Roman"/>
          <w:color w:val="111111"/>
          <w:sz w:val="24"/>
          <w:szCs w:val="24"/>
          <w:bdr w:val="none" w:sz="0" w:space="0" w:color="auto" w:frame="1"/>
        </w:rPr>
        <w:t>Why do you think Eurest added these elements? What benefits might they offer? What problems might they create? If you were consulting for Eurest, would you recommend they keep or eliminate these two elements? Why?</w:t>
      </w:r>
    </w:p>
    <w:p w14:paraId="201BFD33" w14:textId="77777777" w:rsidR="00DD1F7D" w:rsidRPr="00DD1F7D" w:rsidRDefault="00DD1F7D" w:rsidP="00DD1F7D">
      <w:pPr>
        <w:numPr>
          <w:ilvl w:val="0"/>
          <w:numId w:val="15"/>
        </w:numPr>
        <w:spacing w:after="0" w:line="240" w:lineRule="auto"/>
        <w:ind w:left="360"/>
        <w:rPr>
          <w:rFonts w:ascii="inherit" w:eastAsia="Times New Roman" w:hAnsi="inherit" w:cs="Times New Roman"/>
          <w:color w:val="111111"/>
          <w:sz w:val="24"/>
          <w:szCs w:val="24"/>
        </w:rPr>
      </w:pPr>
      <w:r w:rsidRPr="00DD1F7D">
        <w:rPr>
          <w:rFonts w:ascii="&amp;quot" w:eastAsia="Times New Roman" w:hAnsi="&amp;quot" w:cs="Times New Roman"/>
          <w:color w:val="111111"/>
          <w:sz w:val="24"/>
          <w:szCs w:val="24"/>
          <w:bdr w:val="none" w:sz="0" w:space="0" w:color="auto" w:frame="1"/>
        </w:rPr>
        <w:t>If, during a press interview, Eurest were asked for their position regarding the continuing Aboriginal controversies, how would you recommend that they respond? What impact might your recommendation have on Eurest’s employees, customers, and business and government partners?</w:t>
      </w:r>
    </w:p>
    <w:p w14:paraId="6CCD55C2" w14:textId="77777777" w:rsidR="00DD1F7D" w:rsidRPr="00DD1F7D" w:rsidRDefault="00DD1F7D" w:rsidP="00DD1F7D">
      <w:pPr>
        <w:spacing w:after="0" w:line="240" w:lineRule="auto"/>
        <w:jc w:val="both"/>
        <w:rPr>
          <w:rFonts w:ascii="inherit" w:eastAsia="Times New Roman" w:hAnsi="inherit" w:cs="Times New Roman"/>
          <w:color w:val="111111"/>
          <w:sz w:val="24"/>
          <w:szCs w:val="24"/>
        </w:rPr>
      </w:pPr>
      <w:r w:rsidRPr="00DD1F7D">
        <w:rPr>
          <w:rFonts w:ascii="&amp;quot" w:eastAsia="Times New Roman" w:hAnsi="&amp;quot" w:cs="Times New Roman"/>
          <w:b/>
          <w:bCs/>
          <w:color w:val="111111"/>
          <w:sz w:val="24"/>
          <w:szCs w:val="24"/>
          <w:bdr w:val="none" w:sz="0" w:space="0" w:color="auto" w:frame="1"/>
        </w:rPr>
        <w:t> </w:t>
      </w:r>
    </w:p>
    <w:p w14:paraId="1C5FE838" w14:textId="77777777" w:rsidR="00DD1F7D" w:rsidRPr="00DD1F7D" w:rsidRDefault="00DD1F7D" w:rsidP="00DD1F7D">
      <w:pPr>
        <w:spacing w:after="0" w:line="240" w:lineRule="auto"/>
        <w:jc w:val="both"/>
        <w:rPr>
          <w:rFonts w:ascii="inherit" w:eastAsia="Times New Roman" w:hAnsi="inherit" w:cs="Times New Roman"/>
          <w:color w:val="111111"/>
          <w:sz w:val="24"/>
          <w:szCs w:val="24"/>
        </w:rPr>
      </w:pPr>
      <w:r w:rsidRPr="00DD1F7D">
        <w:rPr>
          <w:rFonts w:ascii="&amp;quot" w:eastAsia="Times New Roman" w:hAnsi="&amp;quot" w:cs="Times New Roman"/>
          <w:b/>
          <w:bCs/>
          <w:color w:val="111111"/>
          <w:sz w:val="24"/>
          <w:szCs w:val="24"/>
          <w:bdr w:val="none" w:sz="0" w:space="0" w:color="auto" w:frame="1"/>
        </w:rPr>
        <w:t> </w:t>
      </w:r>
    </w:p>
    <w:p w14:paraId="265C5FD2" w14:textId="77777777" w:rsidR="00DD1F7D" w:rsidRPr="00DD1F7D" w:rsidRDefault="00DD1F7D" w:rsidP="00DD1F7D">
      <w:pPr>
        <w:spacing w:after="0" w:line="240" w:lineRule="auto"/>
        <w:jc w:val="both"/>
        <w:rPr>
          <w:rFonts w:ascii="inherit" w:eastAsia="Times New Roman" w:hAnsi="inherit" w:cs="Times New Roman"/>
          <w:color w:val="111111"/>
          <w:sz w:val="24"/>
          <w:szCs w:val="24"/>
        </w:rPr>
      </w:pPr>
      <w:r w:rsidRPr="00DD1F7D">
        <w:rPr>
          <w:rFonts w:ascii="&amp;quot" w:eastAsia="Times New Roman" w:hAnsi="&amp;quot" w:cs="Times New Roman"/>
          <w:b/>
          <w:bCs/>
          <w:color w:val="111111"/>
          <w:sz w:val="24"/>
          <w:szCs w:val="24"/>
          <w:bdr w:val="none" w:sz="0" w:space="0" w:color="auto" w:frame="1"/>
        </w:rPr>
        <w:t xml:space="preserve">Summary and Conclusion </w:t>
      </w:r>
    </w:p>
    <w:p w14:paraId="40D4CCF6" w14:textId="77777777" w:rsidR="00DD1F7D" w:rsidRPr="00DD1F7D" w:rsidRDefault="00DD1F7D" w:rsidP="00DD1F7D">
      <w:pPr>
        <w:spacing w:after="0" w:line="240" w:lineRule="auto"/>
        <w:outlineLvl w:val="1"/>
        <w:rPr>
          <w:rFonts w:ascii="inherit" w:eastAsia="Times New Roman" w:hAnsi="inherit" w:cs="Times New Roman"/>
          <w:b/>
          <w:bCs/>
          <w:color w:val="111111"/>
          <w:sz w:val="30"/>
          <w:szCs w:val="30"/>
        </w:rPr>
      </w:pPr>
      <w:r w:rsidRPr="00DD1F7D">
        <w:rPr>
          <w:rFonts w:ascii="&amp;quot" w:eastAsia="Times New Roman" w:hAnsi="&amp;quot" w:cs="Times New Roman"/>
          <w:color w:val="111111"/>
          <w:sz w:val="30"/>
          <w:szCs w:val="30"/>
          <w:bdr w:val="none" w:sz="0" w:space="0" w:color="auto" w:frame="1"/>
        </w:rPr>
        <w:t xml:space="preserve">Inclusion of disadvantaged groups through state/national collaborations refers to the values that drive organizational policies </w:t>
      </w:r>
      <w:proofErr w:type="gramStart"/>
      <w:r w:rsidRPr="00DD1F7D">
        <w:rPr>
          <w:rFonts w:ascii="&amp;quot" w:eastAsia="Times New Roman" w:hAnsi="&amp;quot" w:cs="Times New Roman"/>
          <w:color w:val="111111"/>
          <w:sz w:val="30"/>
          <w:szCs w:val="30"/>
          <w:bdr w:val="none" w:sz="0" w:space="0" w:color="auto" w:frame="1"/>
        </w:rPr>
        <w:t>with regard to</w:t>
      </w:r>
      <w:proofErr w:type="gramEnd"/>
      <w:r w:rsidRPr="00DD1F7D">
        <w:rPr>
          <w:rFonts w:ascii="&amp;quot" w:eastAsia="Times New Roman" w:hAnsi="&amp;quot" w:cs="Times New Roman"/>
          <w:color w:val="111111"/>
          <w:sz w:val="30"/>
          <w:szCs w:val="30"/>
          <w:bdr w:val="none" w:sz="0" w:space="0" w:color="auto" w:frame="1"/>
        </w:rPr>
        <w:t xml:space="preserve"> disadvantaged populations such as recipients, domestic violence victims, and youth in distress. The main obstacle to implementing such programs is a limited corporate vision that is focused on short-term goals. The other obstacles are stereotypes and prejudices held by management and workers against disadvantaged populations. If corporations take appropriate initiative with respect to disadvantaged groups, social and legislative changes such as the welfare-to-work reform can be conceptualized as an opportunity to make the workplace more respective to social class and dive companies access to untapped human resources.</w:t>
      </w:r>
    </w:p>
    <w:p w14:paraId="558925F9" w14:textId="0982A38B" w:rsidR="00607FEC" w:rsidRDefault="00607FEC">
      <w:bookmarkStart w:id="0" w:name="_GoBack"/>
      <w:bookmarkEnd w:id="0"/>
    </w:p>
    <w:p w14:paraId="73C8B60D" w14:textId="75FD1784" w:rsidR="00607FEC" w:rsidRDefault="00607FEC"/>
    <w:p w14:paraId="097C1A78" w14:textId="77777777" w:rsidR="00607FEC" w:rsidRDefault="00607FEC"/>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529CC"/>
    <w:multiLevelType w:val="multilevel"/>
    <w:tmpl w:val="43989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5741BC"/>
    <w:multiLevelType w:val="multilevel"/>
    <w:tmpl w:val="329A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57294D"/>
    <w:multiLevelType w:val="multilevel"/>
    <w:tmpl w:val="6534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7133EFC"/>
    <w:multiLevelType w:val="multilevel"/>
    <w:tmpl w:val="076A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E8568CD"/>
    <w:multiLevelType w:val="multilevel"/>
    <w:tmpl w:val="927AE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0991CEC"/>
    <w:multiLevelType w:val="multilevel"/>
    <w:tmpl w:val="9EC69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F4661E"/>
    <w:multiLevelType w:val="multilevel"/>
    <w:tmpl w:val="C6AA20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4596FB2"/>
    <w:multiLevelType w:val="multilevel"/>
    <w:tmpl w:val="97147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6E62681"/>
    <w:multiLevelType w:val="multilevel"/>
    <w:tmpl w:val="BF98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B913E6A"/>
    <w:multiLevelType w:val="multilevel"/>
    <w:tmpl w:val="520CE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9"/>
  </w:num>
  <w:num w:numId="4">
    <w:abstractNumId w:val="6"/>
  </w:num>
  <w:num w:numId="5">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3"/>
  </w:num>
  <w:num w:numId="11">
    <w:abstractNumId w:val="2"/>
  </w:num>
  <w:num w:numId="12">
    <w:abstractNumId w:val="0"/>
  </w:num>
  <w:num w:numId="13">
    <w:abstractNumId w:val="8"/>
  </w:num>
  <w:num w:numId="14">
    <w:abstractNumId w:val="7"/>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1A1723"/>
    <w:rsid w:val="00276AB5"/>
    <w:rsid w:val="00364BC1"/>
    <w:rsid w:val="00386EC8"/>
    <w:rsid w:val="004A6F8B"/>
    <w:rsid w:val="004E1FB2"/>
    <w:rsid w:val="00584E15"/>
    <w:rsid w:val="005A33F1"/>
    <w:rsid w:val="00607FEC"/>
    <w:rsid w:val="00681F3A"/>
    <w:rsid w:val="006845CF"/>
    <w:rsid w:val="00814FFD"/>
    <w:rsid w:val="009A6BED"/>
    <w:rsid w:val="00A8360D"/>
    <w:rsid w:val="00DD1F7D"/>
    <w:rsid w:val="00F3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314702">
      <w:bodyDiv w:val="1"/>
      <w:marLeft w:val="0"/>
      <w:marRight w:val="0"/>
      <w:marTop w:val="0"/>
      <w:marBottom w:val="0"/>
      <w:divBdr>
        <w:top w:val="none" w:sz="0" w:space="0" w:color="auto"/>
        <w:left w:val="none" w:sz="0" w:space="0" w:color="auto"/>
        <w:bottom w:val="none" w:sz="0" w:space="0" w:color="auto"/>
        <w:right w:val="none" w:sz="0" w:space="0" w:color="auto"/>
      </w:divBdr>
      <w:divsChild>
        <w:div w:id="654377754">
          <w:marLeft w:val="0"/>
          <w:marRight w:val="0"/>
          <w:marTop w:val="0"/>
          <w:marBottom w:val="0"/>
          <w:divBdr>
            <w:top w:val="none" w:sz="0" w:space="0" w:color="auto"/>
            <w:left w:val="none" w:sz="0" w:space="0" w:color="auto"/>
            <w:bottom w:val="none" w:sz="0" w:space="0" w:color="auto"/>
            <w:right w:val="none" w:sz="0" w:space="0" w:color="auto"/>
          </w:divBdr>
        </w:div>
      </w:divsChild>
    </w:div>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298923740">
      <w:bodyDiv w:val="1"/>
      <w:marLeft w:val="0"/>
      <w:marRight w:val="0"/>
      <w:marTop w:val="0"/>
      <w:marBottom w:val="0"/>
      <w:divBdr>
        <w:top w:val="none" w:sz="0" w:space="0" w:color="auto"/>
        <w:left w:val="none" w:sz="0" w:space="0" w:color="auto"/>
        <w:bottom w:val="none" w:sz="0" w:space="0" w:color="auto"/>
        <w:right w:val="none" w:sz="0" w:space="0" w:color="auto"/>
      </w:divBdr>
      <w:divsChild>
        <w:div w:id="1093937385">
          <w:marLeft w:val="0"/>
          <w:marRight w:val="0"/>
          <w:marTop w:val="0"/>
          <w:marBottom w:val="0"/>
          <w:divBdr>
            <w:top w:val="none" w:sz="0" w:space="0" w:color="auto"/>
            <w:left w:val="none" w:sz="0" w:space="0" w:color="auto"/>
            <w:bottom w:val="none" w:sz="0" w:space="0" w:color="auto"/>
            <w:right w:val="none" w:sz="0" w:space="0" w:color="auto"/>
          </w:divBdr>
        </w:div>
      </w:divsChild>
    </w:div>
    <w:div w:id="630211993">
      <w:bodyDiv w:val="1"/>
      <w:marLeft w:val="0"/>
      <w:marRight w:val="0"/>
      <w:marTop w:val="0"/>
      <w:marBottom w:val="0"/>
      <w:divBdr>
        <w:top w:val="none" w:sz="0" w:space="0" w:color="auto"/>
        <w:left w:val="none" w:sz="0" w:space="0" w:color="auto"/>
        <w:bottom w:val="none" w:sz="0" w:space="0" w:color="auto"/>
        <w:right w:val="none" w:sz="0" w:space="0" w:color="auto"/>
      </w:divBdr>
      <w:divsChild>
        <w:div w:id="1450316332">
          <w:marLeft w:val="0"/>
          <w:marRight w:val="0"/>
          <w:marTop w:val="0"/>
          <w:marBottom w:val="0"/>
          <w:divBdr>
            <w:top w:val="none" w:sz="0" w:space="0" w:color="auto"/>
            <w:left w:val="none" w:sz="0" w:space="0" w:color="auto"/>
            <w:bottom w:val="none" w:sz="0" w:space="0" w:color="auto"/>
            <w:right w:val="none" w:sz="0" w:space="0" w:color="auto"/>
          </w:divBdr>
        </w:div>
      </w:divsChild>
    </w:div>
    <w:div w:id="715590888">
      <w:bodyDiv w:val="1"/>
      <w:marLeft w:val="0"/>
      <w:marRight w:val="0"/>
      <w:marTop w:val="0"/>
      <w:marBottom w:val="0"/>
      <w:divBdr>
        <w:top w:val="none" w:sz="0" w:space="0" w:color="auto"/>
        <w:left w:val="none" w:sz="0" w:space="0" w:color="auto"/>
        <w:bottom w:val="none" w:sz="0" w:space="0" w:color="auto"/>
        <w:right w:val="none" w:sz="0" w:space="0" w:color="auto"/>
      </w:divBdr>
    </w:div>
    <w:div w:id="813834330">
      <w:bodyDiv w:val="1"/>
      <w:marLeft w:val="0"/>
      <w:marRight w:val="0"/>
      <w:marTop w:val="0"/>
      <w:marBottom w:val="0"/>
      <w:divBdr>
        <w:top w:val="none" w:sz="0" w:space="0" w:color="auto"/>
        <w:left w:val="none" w:sz="0" w:space="0" w:color="auto"/>
        <w:bottom w:val="none" w:sz="0" w:space="0" w:color="auto"/>
        <w:right w:val="none" w:sz="0" w:space="0" w:color="auto"/>
      </w:divBdr>
      <w:divsChild>
        <w:div w:id="1206527937">
          <w:marLeft w:val="0"/>
          <w:marRight w:val="0"/>
          <w:marTop w:val="0"/>
          <w:marBottom w:val="0"/>
          <w:divBdr>
            <w:top w:val="none" w:sz="0" w:space="0" w:color="auto"/>
            <w:left w:val="none" w:sz="0" w:space="0" w:color="auto"/>
            <w:bottom w:val="none" w:sz="0" w:space="0" w:color="auto"/>
            <w:right w:val="none" w:sz="0" w:space="0" w:color="auto"/>
          </w:divBdr>
        </w:div>
      </w:divsChild>
    </w:div>
    <w:div w:id="825440512">
      <w:bodyDiv w:val="1"/>
      <w:marLeft w:val="0"/>
      <w:marRight w:val="0"/>
      <w:marTop w:val="0"/>
      <w:marBottom w:val="0"/>
      <w:divBdr>
        <w:top w:val="none" w:sz="0" w:space="0" w:color="auto"/>
        <w:left w:val="none" w:sz="0" w:space="0" w:color="auto"/>
        <w:bottom w:val="none" w:sz="0" w:space="0" w:color="auto"/>
        <w:right w:val="none" w:sz="0" w:space="0" w:color="auto"/>
      </w:divBdr>
      <w:divsChild>
        <w:div w:id="1566061229">
          <w:marLeft w:val="0"/>
          <w:marRight w:val="0"/>
          <w:marTop w:val="0"/>
          <w:marBottom w:val="0"/>
          <w:divBdr>
            <w:top w:val="none" w:sz="0" w:space="0" w:color="auto"/>
            <w:left w:val="none" w:sz="0" w:space="0" w:color="auto"/>
            <w:bottom w:val="none" w:sz="0" w:space="0" w:color="auto"/>
            <w:right w:val="none" w:sz="0" w:space="0" w:color="auto"/>
          </w:divBdr>
        </w:div>
      </w:divsChild>
    </w:div>
    <w:div w:id="1225990796">
      <w:bodyDiv w:val="1"/>
      <w:marLeft w:val="0"/>
      <w:marRight w:val="0"/>
      <w:marTop w:val="0"/>
      <w:marBottom w:val="0"/>
      <w:divBdr>
        <w:top w:val="none" w:sz="0" w:space="0" w:color="auto"/>
        <w:left w:val="none" w:sz="0" w:space="0" w:color="auto"/>
        <w:bottom w:val="none" w:sz="0" w:space="0" w:color="auto"/>
        <w:right w:val="none" w:sz="0" w:space="0" w:color="auto"/>
      </w:divBdr>
      <w:divsChild>
        <w:div w:id="825364323">
          <w:marLeft w:val="0"/>
          <w:marRight w:val="0"/>
          <w:marTop w:val="0"/>
          <w:marBottom w:val="0"/>
          <w:divBdr>
            <w:top w:val="none" w:sz="0" w:space="0" w:color="auto"/>
            <w:left w:val="none" w:sz="0" w:space="0" w:color="auto"/>
            <w:bottom w:val="none" w:sz="0" w:space="0" w:color="auto"/>
            <w:right w:val="none" w:sz="0" w:space="0" w:color="auto"/>
          </w:divBdr>
        </w:div>
      </w:divsChild>
    </w:div>
    <w:div w:id="1253078084">
      <w:bodyDiv w:val="1"/>
      <w:marLeft w:val="0"/>
      <w:marRight w:val="0"/>
      <w:marTop w:val="0"/>
      <w:marBottom w:val="0"/>
      <w:divBdr>
        <w:top w:val="none" w:sz="0" w:space="0" w:color="auto"/>
        <w:left w:val="none" w:sz="0" w:space="0" w:color="auto"/>
        <w:bottom w:val="none" w:sz="0" w:space="0" w:color="auto"/>
        <w:right w:val="none" w:sz="0" w:space="0" w:color="auto"/>
      </w:divBdr>
      <w:divsChild>
        <w:div w:id="693851320">
          <w:marLeft w:val="0"/>
          <w:marRight w:val="0"/>
          <w:marTop w:val="0"/>
          <w:marBottom w:val="0"/>
          <w:divBdr>
            <w:top w:val="none" w:sz="0" w:space="0" w:color="auto"/>
            <w:left w:val="none" w:sz="0" w:space="0" w:color="auto"/>
            <w:bottom w:val="none" w:sz="0" w:space="0" w:color="auto"/>
            <w:right w:val="none" w:sz="0" w:space="0" w:color="auto"/>
          </w:divBdr>
        </w:div>
      </w:divsChild>
    </w:div>
    <w:div w:id="1295519647">
      <w:bodyDiv w:val="1"/>
      <w:marLeft w:val="0"/>
      <w:marRight w:val="0"/>
      <w:marTop w:val="0"/>
      <w:marBottom w:val="0"/>
      <w:divBdr>
        <w:top w:val="none" w:sz="0" w:space="0" w:color="auto"/>
        <w:left w:val="none" w:sz="0" w:space="0" w:color="auto"/>
        <w:bottom w:val="none" w:sz="0" w:space="0" w:color="auto"/>
        <w:right w:val="none" w:sz="0" w:space="0" w:color="auto"/>
      </w:divBdr>
      <w:divsChild>
        <w:div w:id="1543059679">
          <w:marLeft w:val="0"/>
          <w:marRight w:val="0"/>
          <w:marTop w:val="0"/>
          <w:marBottom w:val="0"/>
          <w:divBdr>
            <w:top w:val="none" w:sz="0" w:space="0" w:color="auto"/>
            <w:left w:val="none" w:sz="0" w:space="0" w:color="auto"/>
            <w:bottom w:val="none" w:sz="0" w:space="0" w:color="auto"/>
            <w:right w:val="none" w:sz="0" w:space="0" w:color="auto"/>
          </w:divBdr>
        </w:div>
      </w:divsChild>
    </w:div>
    <w:div w:id="1354188865">
      <w:bodyDiv w:val="1"/>
      <w:marLeft w:val="0"/>
      <w:marRight w:val="0"/>
      <w:marTop w:val="0"/>
      <w:marBottom w:val="0"/>
      <w:divBdr>
        <w:top w:val="none" w:sz="0" w:space="0" w:color="auto"/>
        <w:left w:val="none" w:sz="0" w:space="0" w:color="auto"/>
        <w:bottom w:val="none" w:sz="0" w:space="0" w:color="auto"/>
        <w:right w:val="none" w:sz="0" w:space="0" w:color="auto"/>
      </w:divBdr>
      <w:divsChild>
        <w:div w:id="1636327886">
          <w:marLeft w:val="0"/>
          <w:marRight w:val="0"/>
          <w:marTop w:val="0"/>
          <w:marBottom w:val="0"/>
          <w:divBdr>
            <w:top w:val="none" w:sz="0" w:space="0" w:color="auto"/>
            <w:left w:val="none" w:sz="0" w:space="0" w:color="auto"/>
            <w:bottom w:val="none" w:sz="0" w:space="0" w:color="auto"/>
            <w:right w:val="none" w:sz="0" w:space="0" w:color="auto"/>
          </w:divBdr>
        </w:div>
      </w:divsChild>
    </w:div>
    <w:div w:id="1796098032">
      <w:bodyDiv w:val="1"/>
      <w:marLeft w:val="0"/>
      <w:marRight w:val="0"/>
      <w:marTop w:val="0"/>
      <w:marBottom w:val="0"/>
      <w:divBdr>
        <w:top w:val="none" w:sz="0" w:space="0" w:color="auto"/>
        <w:left w:val="none" w:sz="0" w:space="0" w:color="auto"/>
        <w:bottom w:val="none" w:sz="0" w:space="0" w:color="auto"/>
        <w:right w:val="none" w:sz="0" w:space="0" w:color="auto"/>
      </w:divBdr>
      <w:divsChild>
        <w:div w:id="1831213314">
          <w:marLeft w:val="0"/>
          <w:marRight w:val="0"/>
          <w:marTop w:val="0"/>
          <w:marBottom w:val="0"/>
          <w:divBdr>
            <w:top w:val="none" w:sz="0" w:space="0" w:color="auto"/>
            <w:left w:val="none" w:sz="0" w:space="0" w:color="auto"/>
            <w:bottom w:val="none" w:sz="0" w:space="0" w:color="auto"/>
            <w:right w:val="none" w:sz="0" w:space="0" w:color="auto"/>
          </w:divBdr>
        </w:div>
      </w:divsChild>
    </w:div>
    <w:div w:id="1987853574">
      <w:bodyDiv w:val="1"/>
      <w:marLeft w:val="0"/>
      <w:marRight w:val="0"/>
      <w:marTop w:val="0"/>
      <w:marBottom w:val="0"/>
      <w:divBdr>
        <w:top w:val="none" w:sz="0" w:space="0" w:color="auto"/>
        <w:left w:val="none" w:sz="0" w:space="0" w:color="auto"/>
        <w:bottom w:val="none" w:sz="0" w:space="0" w:color="auto"/>
        <w:right w:val="none" w:sz="0" w:space="0" w:color="auto"/>
      </w:divBdr>
      <w:divsChild>
        <w:div w:id="1935941434">
          <w:marLeft w:val="0"/>
          <w:marRight w:val="0"/>
          <w:marTop w:val="0"/>
          <w:marBottom w:val="0"/>
          <w:divBdr>
            <w:top w:val="none" w:sz="0" w:space="0" w:color="auto"/>
            <w:left w:val="none" w:sz="0" w:space="0" w:color="auto"/>
            <w:bottom w:val="none" w:sz="0" w:space="0" w:color="auto"/>
            <w:right w:val="none" w:sz="0" w:space="0" w:color="auto"/>
          </w:divBdr>
        </w:div>
      </w:divsChild>
    </w:div>
    <w:div w:id="2012445404">
      <w:bodyDiv w:val="1"/>
      <w:marLeft w:val="0"/>
      <w:marRight w:val="0"/>
      <w:marTop w:val="0"/>
      <w:marBottom w:val="0"/>
      <w:divBdr>
        <w:top w:val="none" w:sz="0" w:space="0" w:color="auto"/>
        <w:left w:val="none" w:sz="0" w:space="0" w:color="auto"/>
        <w:bottom w:val="none" w:sz="0" w:space="0" w:color="auto"/>
        <w:right w:val="none" w:sz="0" w:space="0" w:color="auto"/>
      </w:divBdr>
      <w:divsChild>
        <w:div w:id="1542548587">
          <w:marLeft w:val="0"/>
          <w:marRight w:val="0"/>
          <w:marTop w:val="0"/>
          <w:marBottom w:val="0"/>
          <w:divBdr>
            <w:top w:val="none" w:sz="0" w:space="0" w:color="auto"/>
            <w:left w:val="none" w:sz="0" w:space="0" w:color="auto"/>
            <w:bottom w:val="none" w:sz="0" w:space="0" w:color="auto"/>
            <w:right w:val="none" w:sz="0" w:space="0" w:color="auto"/>
          </w:divBdr>
        </w:div>
      </w:divsChild>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1857</Words>
  <Characters>10589</Characters>
  <Application>Microsoft Office Word</Application>
  <DocSecurity>0</DocSecurity>
  <Lines>88</Lines>
  <Paragraphs>24</Paragraphs>
  <ScaleCrop>false</ScaleCrop>
  <Company/>
  <LinksUpToDate>false</LinksUpToDate>
  <CharactersWithSpaces>12422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2020-04-09T08:51:00Z</dcterms:created>
  <dcterms:modified xsi:type="dcterms:W3CDTF">2020-04-09T08:51:00Z</dcterms:modified>
</cp:coreProperties>
</file>